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0" w:rightChars="0"/>
        <w:rPr>
          <w:rFonts w:hint="default" w:ascii="Arial" w:hAnsi="Arial" w:eastAsia="宋体" w:cs="Arial"/>
          <w:b/>
          <w:bCs/>
          <w:lang w:val="en-US" w:eastAsia="zh-CN"/>
        </w:rPr>
      </w:pPr>
      <w:r>
        <w:rPr>
          <w:rFonts w:ascii="Arial" w:hAnsi="Arial" w:cs="Arial"/>
          <w:b/>
          <w:bCs/>
        </w:rPr>
        <w:t>3GPP TSG SA Meeting #104</w:t>
      </w:r>
      <w:r>
        <w:rPr>
          <w:rFonts w:ascii="Arial" w:hAnsi="Arial" w:cs="Arial"/>
          <w:b/>
          <w:bCs/>
        </w:rPr>
        <w:tab/>
      </w:r>
      <w:r>
        <w:rPr>
          <w:rFonts w:hint="eastAsia" w:ascii="Arial" w:hAnsi="Arial" w:eastAsia="宋体" w:cs="Arial"/>
          <w:b/>
          <w:bCs/>
          <w:lang w:val="en-US" w:eastAsia="zh-CN"/>
        </w:rPr>
        <w:t xml:space="preserve">     </w:t>
      </w:r>
      <w:r>
        <w:rPr>
          <w:rFonts w:ascii="Arial" w:hAnsi="Arial" w:cs="Arial"/>
          <w:b/>
          <w:bCs/>
        </w:rPr>
        <w:tab/>
      </w:r>
      <w:r>
        <w:rPr>
          <w:rFonts w:ascii="Arial" w:hAnsi="Arial" w:cs="Arial"/>
          <w:b/>
          <w:bCs/>
        </w:rPr>
        <w:tab/>
      </w:r>
      <w:r>
        <w:rPr>
          <w:rFonts w:ascii="Arial" w:hAnsi="Arial" w:cs="Arial"/>
          <w:b/>
          <w:bCs/>
        </w:rPr>
        <w:tab/>
      </w:r>
      <w:r>
        <w:rPr>
          <w:rFonts w:hint="eastAsia" w:ascii="Arial" w:hAnsi="Arial" w:eastAsia="宋体" w:cs="Arial"/>
          <w:b/>
          <w:bCs/>
          <w:lang w:val="en-US" w:eastAsia="zh-CN"/>
        </w:rPr>
        <w:t xml:space="preserve">                                    </w:t>
      </w:r>
      <w:r>
        <w:rPr>
          <w:rFonts w:ascii="Arial" w:hAnsi="Arial" w:cs="Arial"/>
          <w:b/>
          <w:bCs/>
        </w:rPr>
        <w:t>SP-240</w:t>
      </w:r>
      <w:r>
        <w:rPr>
          <w:rFonts w:hint="eastAsia" w:ascii="Arial" w:hAnsi="Arial" w:eastAsia="宋体" w:cs="Arial"/>
          <w:b/>
          <w:bCs/>
          <w:lang w:val="en-US" w:eastAsia="zh-CN"/>
        </w:rPr>
        <w:t>901</w:t>
      </w:r>
    </w:p>
    <w:p>
      <w:pPr>
        <w:pBdr>
          <w:bottom w:val="single" w:color="auto" w:sz="4" w:space="1"/>
        </w:pBdr>
        <w:tabs>
          <w:tab w:val="right" w:pos="9214"/>
        </w:tabs>
        <w:rPr>
          <w:rFonts w:ascii="Arial" w:hAnsi="Arial" w:cs="Arial"/>
          <w:b/>
        </w:rPr>
      </w:pPr>
      <w:r>
        <w:rPr>
          <w:rFonts w:ascii="Arial" w:hAnsi="Arial" w:cs="Arial"/>
          <w:b/>
          <w:bCs/>
        </w:rPr>
        <w:t>Shanghai, China, June 18 – 21, 2024</w:t>
      </w:r>
    </w:p>
    <w:p>
      <w:pPr>
        <w:tabs>
          <w:tab w:val="left" w:pos="1701"/>
        </w:tabs>
        <w:rPr>
          <w:rFonts w:ascii="Arial" w:hAnsi="Arial" w:cs="Arial"/>
          <w:color w:val="000000"/>
          <w:sz w:val="18"/>
          <w:szCs w:val="18"/>
          <w:lang w:eastAsia="en-GB"/>
        </w:rPr>
      </w:pPr>
      <w:r>
        <w:rPr>
          <w:rFonts w:ascii="Arial" w:hAnsi="Arial" w:eastAsia="宋体"/>
          <w:lang w:eastAsia="en-GB"/>
        </w:rPr>
        <w:t>Title:</w:t>
      </w:r>
      <w:r>
        <w:rPr>
          <w:rFonts w:ascii="Arial" w:hAnsi="Arial" w:eastAsia="宋体"/>
          <w:lang w:eastAsia="en-GB"/>
        </w:rPr>
        <w:tab/>
      </w:r>
      <w:r>
        <w:rPr>
          <w:rFonts w:ascii="Arial" w:hAnsi="Arial" w:eastAsia="宋体"/>
          <w:lang w:eastAsia="en-GB"/>
        </w:rPr>
        <w:t xml:space="preserve">Summary for </w:t>
      </w:r>
      <w:r>
        <w:rPr>
          <w:rFonts w:ascii="Arial" w:hAnsi="Arial" w:cs="Arial"/>
          <w:color w:val="000000"/>
          <w:sz w:val="18"/>
          <w:szCs w:val="18"/>
          <w:lang w:eastAsia="en-GB"/>
        </w:rPr>
        <w:t>SCAS_5G_AAnF</w:t>
      </w:r>
    </w:p>
    <w:p>
      <w:pPr>
        <w:tabs>
          <w:tab w:val="left" w:pos="1701"/>
        </w:tabs>
        <w:rPr>
          <w:rFonts w:ascii="Arial" w:hAnsi="Arial" w:eastAsia="宋体"/>
          <w:lang w:eastAsia="zh-CN"/>
        </w:rPr>
      </w:pPr>
      <w:r>
        <w:rPr>
          <w:rFonts w:ascii="Arial" w:hAnsi="Arial" w:eastAsia="宋体"/>
          <w:lang w:eastAsia="en-GB"/>
        </w:rPr>
        <w:t>Type:</w:t>
      </w:r>
      <w:r>
        <w:rPr>
          <w:rFonts w:ascii="Arial" w:hAnsi="Arial" w:eastAsia="宋体"/>
          <w:lang w:eastAsia="en-GB"/>
        </w:rPr>
        <w:tab/>
      </w:r>
      <w:r>
        <w:rPr>
          <w:rFonts w:ascii="Arial" w:hAnsi="Arial" w:eastAsia="宋体"/>
          <w:lang w:eastAsia="zh-CN"/>
        </w:rPr>
        <w:t xml:space="preserve">Work Item Summary </w:t>
      </w:r>
    </w:p>
    <w:p>
      <w:pPr>
        <w:tabs>
          <w:tab w:val="left" w:pos="1701"/>
        </w:tabs>
        <w:rPr>
          <w:rFonts w:ascii="Arial" w:hAnsi="Arial" w:eastAsia="宋体"/>
          <w:lang w:eastAsia="en-GB"/>
        </w:rPr>
      </w:pPr>
      <w:r>
        <w:rPr>
          <w:rFonts w:ascii="Arial" w:hAnsi="Arial" w:eastAsia="宋体"/>
          <w:lang w:eastAsia="en-GB"/>
        </w:rPr>
        <w:t>Agenda Item:</w:t>
      </w:r>
      <w:r>
        <w:rPr>
          <w:rFonts w:ascii="Arial" w:hAnsi="Arial" w:eastAsia="宋体"/>
          <w:lang w:eastAsia="en-GB"/>
        </w:rPr>
        <w:tab/>
      </w:r>
      <w:r>
        <w:rPr>
          <w:rFonts w:ascii="Arial" w:hAnsi="Arial" w:eastAsia="宋体"/>
          <w:lang w:eastAsia="en-GB"/>
        </w:rPr>
        <w:t xml:space="preserve">21.5 </w:t>
      </w:r>
    </w:p>
    <w:p>
      <w:pPr>
        <w:tabs>
          <w:tab w:val="left" w:pos="1701"/>
        </w:tabs>
        <w:rPr>
          <w:rFonts w:hint="eastAsia" w:ascii="Arial" w:hAnsi="Arial" w:eastAsia="宋体"/>
          <w:lang w:val="en-US" w:eastAsia="zh-CN"/>
        </w:rPr>
      </w:pPr>
      <w:r>
        <w:rPr>
          <w:rFonts w:ascii="Arial" w:hAnsi="Arial" w:eastAsia="宋体"/>
          <w:lang w:eastAsia="en-GB"/>
        </w:rPr>
        <w:t>Source:</w:t>
      </w:r>
      <w:r>
        <w:rPr>
          <w:rFonts w:ascii="Arial" w:hAnsi="Arial" w:eastAsia="宋体"/>
          <w:lang w:eastAsia="en-GB"/>
        </w:rPr>
        <w:tab/>
      </w:r>
      <w:r>
        <w:rPr>
          <w:rFonts w:hint="eastAsia" w:ascii="Arial" w:hAnsi="Arial" w:eastAsia="宋体"/>
          <w:lang w:val="en-US" w:eastAsia="zh-CN"/>
        </w:rPr>
        <w:t>China Mobile</w:t>
      </w:r>
    </w:p>
    <w:p>
      <w:pPr>
        <w:tabs>
          <w:tab w:val="left" w:pos="1701"/>
        </w:tabs>
        <w:rPr>
          <w:rFonts w:hint="default" w:ascii="Arial" w:hAnsi="Arial" w:eastAsia="宋体"/>
          <w:lang w:val="en-US" w:eastAsia="zh-CN"/>
        </w:rPr>
      </w:pPr>
      <w:r>
        <w:rPr>
          <w:rFonts w:ascii="Arial" w:hAnsi="Arial" w:eastAsia="宋体"/>
          <w:lang w:eastAsia="en-GB"/>
        </w:rPr>
        <w:t>Contact:</w:t>
      </w:r>
      <w:r>
        <w:rPr>
          <w:rFonts w:ascii="Arial" w:hAnsi="Arial" w:eastAsia="宋体"/>
          <w:lang w:eastAsia="en-GB"/>
        </w:rPr>
        <w:tab/>
      </w:r>
      <w:r>
        <w:rPr>
          <w:rFonts w:hint="eastAsia" w:ascii="Arial" w:hAnsi="Arial" w:eastAsia="宋体"/>
          <w:lang w:val="en-US" w:eastAsia="zh-CN"/>
        </w:rPr>
        <w:t>huangxiaoting@chinamobile.com</w:t>
      </w:r>
    </w:p>
    <w:p>
      <w:pPr>
        <w:pBdr>
          <w:bottom w:val="single" w:color="auto" w:sz="6" w:space="1"/>
        </w:pBdr>
      </w:pPr>
    </w:p>
    <w:p>
      <w:pPr>
        <w:rPr>
          <w:lang w:eastAsia="en-GB"/>
        </w:rPr>
      </w:pPr>
      <w:bookmarkStart w:id="0" w:name="_Hlk94172402"/>
      <w:r>
        <w:rPr>
          <w:lang w:eastAsia="en-GB"/>
        </w:rPr>
        <w:t>Summary based on the input provided by</w:t>
      </w:r>
      <w:r>
        <w:rPr>
          <w:rFonts w:hint="eastAsia" w:eastAsia="宋体"/>
          <w:lang w:val="en-US" w:eastAsia="zh-CN"/>
        </w:rPr>
        <w:t xml:space="preserve"> China Mobile</w:t>
      </w:r>
      <w:r>
        <w:rPr>
          <w:lang w:eastAsia="en-GB"/>
        </w:rPr>
        <w:t xml:space="preserve"> in </w:t>
      </w:r>
      <w:r>
        <w:rPr>
          <w:rFonts w:hint="eastAsia"/>
          <w:lang w:eastAsia="en-GB"/>
        </w:rPr>
        <w:t>SP-240901</w:t>
      </w:r>
      <w:bookmarkStart w:id="1" w:name="_GoBack"/>
      <w:bookmarkEnd w:id="1"/>
      <w:r>
        <w:rPr>
          <w:lang w:eastAsia="en-GB"/>
        </w:rPr>
        <w:t>.</w:t>
      </w:r>
    </w:p>
    <w:tbl>
      <w:tblPr>
        <w:tblStyle w:val="5"/>
        <w:tblW w:w="9120" w:type="dxa"/>
        <w:tblInd w:w="108" w:type="dxa"/>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Layout w:type="fixed"/>
        <w:tblCellMar>
          <w:top w:w="0" w:type="dxa"/>
          <w:left w:w="108" w:type="dxa"/>
          <w:bottom w:w="0" w:type="dxa"/>
          <w:right w:w="108" w:type="dxa"/>
        </w:tblCellMar>
      </w:tblPr>
      <w:tblGrid>
        <w:gridCol w:w="959"/>
        <w:gridCol w:w="1572"/>
        <w:gridCol w:w="1467"/>
        <w:gridCol w:w="1044"/>
        <w:gridCol w:w="1256"/>
        <w:gridCol w:w="2822"/>
      </w:tblGrid>
      <w:tr>
        <w:tblPrEx>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CellMar>
            <w:top w:w="0" w:type="dxa"/>
            <w:left w:w="108" w:type="dxa"/>
            <w:bottom w:w="0" w:type="dxa"/>
            <w:right w:w="108" w:type="dxa"/>
          </w:tblCellMar>
        </w:tblPrEx>
        <w:trPr>
          <w:trHeight w:val="786" w:hRule="atLeast"/>
        </w:trPr>
        <w:tc>
          <w:tcPr>
            <w:tcW w:w="959" w:type="dxa"/>
            <w:tcBorders>
              <w:top w:val="single" w:color="auto" w:sz="8" w:space="0"/>
              <w:left w:val="single" w:color="auto" w:sz="8" w:space="0"/>
            </w:tcBorders>
            <w:shd w:val="clear" w:color="000000" w:fill="auto"/>
          </w:tcPr>
          <w:p>
            <w:pPr>
              <w:rPr>
                <w:rFonts w:ascii="Arial" w:hAnsi="Arial" w:cs="Arial"/>
                <w:b/>
                <w:bCs/>
                <w:color w:val="000000"/>
                <w:sz w:val="12"/>
                <w:szCs w:val="12"/>
                <w:lang w:eastAsia="en-GB"/>
              </w:rPr>
            </w:pPr>
            <w:r>
              <w:rPr>
                <w:rFonts w:ascii="Arial" w:hAnsi="Arial" w:cs="Arial"/>
                <w:b/>
                <w:bCs/>
                <w:color w:val="000000"/>
                <w:sz w:val="12"/>
                <w:szCs w:val="12"/>
                <w:lang w:eastAsia="en-GB"/>
              </w:rPr>
              <w:t>Unique ID</w:t>
            </w:r>
          </w:p>
        </w:tc>
        <w:tc>
          <w:tcPr>
            <w:tcW w:w="1572" w:type="dxa"/>
            <w:tcBorders>
              <w:top w:val="single" w:color="auto" w:sz="8" w:space="0"/>
            </w:tcBorders>
            <w:shd w:val="clear" w:color="000000" w:fill="auto"/>
          </w:tcPr>
          <w:p>
            <w:pPr>
              <w:spacing w:after="0"/>
              <w:rPr>
                <w:rFonts w:ascii="Arial" w:hAnsi="Arial" w:cs="Arial"/>
                <w:b/>
                <w:bCs/>
                <w:color w:val="0000FF"/>
                <w:lang w:eastAsia="en-GB"/>
              </w:rPr>
            </w:pPr>
            <w:r>
              <w:rPr>
                <w:rFonts w:ascii="Arial" w:hAnsi="Arial" w:cs="Arial"/>
                <w:b/>
                <w:bCs/>
                <w:color w:val="0000FF"/>
                <w:lang w:eastAsia="en-GB"/>
              </w:rPr>
              <w:t>Name</w:t>
            </w:r>
          </w:p>
        </w:tc>
        <w:tc>
          <w:tcPr>
            <w:tcW w:w="1467" w:type="dxa"/>
            <w:tcBorders>
              <w:top w:val="single" w:color="auto" w:sz="8" w:space="0"/>
            </w:tcBorders>
            <w:shd w:val="clear" w:color="000000" w:fill="auto"/>
            <w:noWrap/>
          </w:tcPr>
          <w:p>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Acronym</w:t>
            </w:r>
          </w:p>
        </w:tc>
        <w:tc>
          <w:tcPr>
            <w:tcW w:w="1044" w:type="dxa"/>
            <w:tcBorders>
              <w:top w:val="single" w:color="auto" w:sz="8" w:space="0"/>
            </w:tcBorders>
            <w:shd w:val="clear" w:color="000000" w:fill="auto"/>
          </w:tcPr>
          <w:p>
            <w:pPr>
              <w:spacing w:after="0"/>
              <w:rPr>
                <w:rFonts w:ascii="Calibri" w:hAnsi="Calibri" w:cs="Calibri"/>
                <w:color w:val="000000"/>
                <w:sz w:val="14"/>
                <w:szCs w:val="14"/>
                <w:lang w:eastAsia="en-GB"/>
              </w:rPr>
            </w:pPr>
            <w:r>
              <w:rPr>
                <w:rFonts w:ascii="Calibri" w:hAnsi="Calibri" w:cs="Calibri"/>
                <w:color w:val="000000"/>
                <w:sz w:val="14"/>
                <w:szCs w:val="14"/>
                <w:lang w:eastAsia="en-GB"/>
              </w:rPr>
              <w:t>WG</w:t>
            </w:r>
          </w:p>
        </w:tc>
        <w:tc>
          <w:tcPr>
            <w:tcW w:w="1256" w:type="dxa"/>
            <w:tcBorders>
              <w:top w:val="single" w:color="auto" w:sz="8" w:space="0"/>
            </w:tcBorders>
            <w:shd w:val="clear" w:color="000000" w:fill="auto"/>
          </w:tcPr>
          <w:p>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WID</w:t>
            </w:r>
          </w:p>
        </w:tc>
        <w:tc>
          <w:tcPr>
            <w:tcW w:w="2822" w:type="dxa"/>
            <w:tcBorders>
              <w:top w:val="single" w:color="auto" w:sz="8" w:space="0"/>
            </w:tcBorders>
            <w:shd w:val="clear" w:color="000000" w:fill="auto"/>
          </w:tcPr>
          <w:p>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 Rapporteur name</w:t>
            </w:r>
          </w:p>
        </w:tc>
      </w:tr>
      <w:tr>
        <w:tblPrEx>
          <w:tblBorders>
            <w:top w:val="none" w:color="auto" w:sz="0" w:space="0"/>
            <w:left w:val="none" w:color="auto" w:sz="0"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 w:hRule="atLeast"/>
        </w:trPr>
        <w:tc>
          <w:tcPr>
            <w:tcW w:w="959" w:type="dxa"/>
            <w:tcBorders>
              <w:top w:val="single" w:color="auto" w:sz="8" w:space="0"/>
              <w:left w:val="single" w:color="auto" w:sz="8" w:space="0"/>
            </w:tcBorders>
            <w:shd w:val="clear" w:color="000000" w:fill="auto"/>
            <w:vAlign w:val="top"/>
          </w:tcPr>
          <w:p>
            <w:pPr>
              <w:spacing w:after="0"/>
              <w:rPr>
                <w:rFonts w:ascii="Arial" w:hAnsi="Arial" w:cs="Arial"/>
                <w:b/>
                <w:bCs/>
                <w:color w:val="000000"/>
                <w:sz w:val="12"/>
                <w:szCs w:val="12"/>
                <w:lang w:eastAsia="en-GB"/>
              </w:rPr>
            </w:pPr>
            <w:r>
              <w:rPr>
                <w:rFonts w:ascii="Arial" w:hAnsi="Arial" w:cs="Arial"/>
                <w:color w:val="000000"/>
                <w:sz w:val="18"/>
                <w:szCs w:val="18"/>
                <w:lang w:eastAsia="en-GB"/>
              </w:rPr>
              <w:t>950019</w:t>
            </w:r>
          </w:p>
        </w:tc>
        <w:tc>
          <w:tcPr>
            <w:tcW w:w="1572" w:type="dxa"/>
            <w:shd w:val="clear" w:color="000000" w:fill="auto"/>
            <w:vAlign w:val="top"/>
          </w:tcPr>
          <w:p>
            <w:pPr>
              <w:spacing w:after="0"/>
              <w:rPr>
                <w:rFonts w:ascii="Arial" w:hAnsi="Arial" w:cs="Arial"/>
                <w:b/>
                <w:bCs/>
                <w:color w:val="0000FF"/>
                <w:lang w:eastAsia="en-GB"/>
              </w:rPr>
            </w:pPr>
            <w:r>
              <w:rPr>
                <w:rFonts w:ascii="Arial" w:hAnsi="Arial" w:cs="Arial"/>
                <w:b/>
                <w:bCs/>
                <w:color w:val="0000FF"/>
                <w:sz w:val="18"/>
                <w:szCs w:val="18"/>
                <w:lang w:eastAsia="en-GB"/>
              </w:rPr>
              <w:t xml:space="preserve">Security Assurance Specification for AKMA Anchor Function Function (AAnF) </w:t>
            </w:r>
          </w:p>
        </w:tc>
        <w:tc>
          <w:tcPr>
            <w:tcW w:w="1467" w:type="dxa"/>
            <w:shd w:val="clear" w:color="000000" w:fill="auto"/>
            <w:noWrap/>
            <w:vAlign w:val="top"/>
          </w:tcPr>
          <w:p>
            <w:pPr>
              <w:spacing w:after="0"/>
              <w:rPr>
                <w:rFonts w:ascii="Calibri" w:hAnsi="Calibri" w:cs="Calibri"/>
                <w:b/>
                <w:bCs/>
                <w:color w:val="000000"/>
                <w:sz w:val="14"/>
                <w:szCs w:val="14"/>
                <w:lang w:eastAsia="en-GB"/>
              </w:rPr>
            </w:pPr>
            <w:r>
              <w:rPr>
                <w:rFonts w:ascii="Arial" w:hAnsi="Arial" w:cs="Arial"/>
                <w:color w:val="000000"/>
                <w:sz w:val="18"/>
                <w:szCs w:val="18"/>
                <w:lang w:eastAsia="en-GB"/>
              </w:rPr>
              <w:t>SCAS_5G_AAnF</w:t>
            </w:r>
          </w:p>
        </w:tc>
        <w:tc>
          <w:tcPr>
            <w:tcW w:w="1044" w:type="dxa"/>
            <w:shd w:val="clear" w:color="000000" w:fill="auto"/>
            <w:vAlign w:val="top"/>
          </w:tcPr>
          <w:p>
            <w:pPr>
              <w:spacing w:after="0"/>
              <w:rPr>
                <w:rFonts w:ascii="Calibri" w:hAnsi="Calibri" w:cs="Calibri"/>
                <w:color w:val="000000"/>
                <w:sz w:val="14"/>
                <w:szCs w:val="14"/>
                <w:lang w:eastAsia="en-GB"/>
              </w:rPr>
            </w:pPr>
            <w:r>
              <w:rPr>
                <w:rFonts w:ascii="Arial" w:hAnsi="Arial" w:cs="Arial"/>
                <w:color w:val="000000"/>
                <w:sz w:val="18"/>
                <w:szCs w:val="18"/>
                <w:lang w:eastAsia="en-GB"/>
              </w:rPr>
              <w:t>S3</w:t>
            </w:r>
          </w:p>
        </w:tc>
        <w:tc>
          <w:tcPr>
            <w:tcW w:w="1256" w:type="dxa"/>
            <w:shd w:val="clear" w:color="000000" w:fill="auto"/>
            <w:vAlign w:val="top"/>
          </w:tcPr>
          <w:p>
            <w:pPr>
              <w:spacing w:after="0"/>
              <w:rPr>
                <w:rFonts w:ascii="Calibri" w:hAnsi="Calibri" w:cs="Calibri"/>
                <w:b/>
                <w:bCs/>
                <w:color w:val="000000"/>
                <w:sz w:val="14"/>
                <w:szCs w:val="14"/>
                <w:lang w:eastAsia="en-GB"/>
              </w:rPr>
            </w:pPr>
            <w:r>
              <w:fldChar w:fldCharType="begin"/>
            </w:r>
            <w:r>
              <w:instrText xml:space="preserve"> HYPERLINK "https://www.3gpp.org/ftp/Information/WI_Sheet/SP-220197.zip" </w:instrText>
            </w:r>
            <w:r>
              <w:fldChar w:fldCharType="separate"/>
            </w:r>
            <w:r>
              <w:rPr>
                <w:rFonts w:ascii="Calibri" w:hAnsi="Calibri" w:cs="Calibri"/>
                <w:color w:val="0563C1"/>
                <w:sz w:val="18"/>
                <w:szCs w:val="18"/>
                <w:u w:val="single"/>
                <w:lang w:eastAsia="en-GB"/>
              </w:rPr>
              <w:t>SP-220197</w:t>
            </w:r>
            <w:r>
              <w:rPr>
                <w:rFonts w:ascii="Calibri" w:hAnsi="Calibri" w:cs="Calibri"/>
                <w:color w:val="0563C1"/>
                <w:sz w:val="18"/>
                <w:szCs w:val="18"/>
                <w:u w:val="single"/>
                <w:lang w:eastAsia="en-GB"/>
              </w:rPr>
              <w:fldChar w:fldCharType="end"/>
            </w:r>
          </w:p>
        </w:tc>
        <w:tc>
          <w:tcPr>
            <w:tcW w:w="2822" w:type="dxa"/>
            <w:shd w:val="clear" w:color="000000" w:fill="auto"/>
            <w:vAlign w:val="top"/>
          </w:tcPr>
          <w:p>
            <w:pPr>
              <w:spacing w:after="0"/>
              <w:rPr>
                <w:rFonts w:ascii="Calibri" w:hAnsi="Calibri" w:cs="Calibri"/>
                <w:b/>
                <w:bCs/>
                <w:color w:val="000000"/>
                <w:sz w:val="14"/>
                <w:szCs w:val="14"/>
                <w:lang w:eastAsia="en-GB"/>
              </w:rPr>
            </w:pPr>
            <w:r>
              <w:rPr>
                <w:rFonts w:ascii="Arial" w:hAnsi="Arial" w:cs="Arial"/>
                <w:b/>
                <w:bCs/>
                <w:color w:val="000000"/>
                <w:sz w:val="18"/>
                <w:szCs w:val="18"/>
                <w:lang w:eastAsia="en-GB"/>
              </w:rPr>
              <w:t xml:space="preserve">Xiaoting Huang, China Mobile </w:t>
            </w:r>
          </w:p>
        </w:tc>
      </w:tr>
    </w:tbl>
    <w:p>
      <w:pPr>
        <w:rPr>
          <w:lang w:eastAsia="en-GB"/>
        </w:rPr>
      </w:pPr>
    </w:p>
    <w:p>
      <w:pPr>
        <w:rPr>
          <w:b/>
        </w:rPr>
      </w:pPr>
      <w:r>
        <w:rPr>
          <w:b/>
        </w:rPr>
        <w:t>Introduction</w:t>
      </w:r>
    </w:p>
    <w:p>
      <w:pPr>
        <w:jc w:val="both"/>
      </w:pPr>
      <w:r>
        <w:rPr>
          <w:rFonts w:hint="eastAsia" w:eastAsia="宋体"/>
          <w:lang w:val="en-US" w:eastAsia="zh-CN"/>
        </w:rPr>
        <w:t xml:space="preserve">This work item delivers a </w:t>
      </w:r>
      <w:r>
        <w:t>new security assurance specification</w:t>
      </w:r>
      <w:r>
        <w:rPr>
          <w:rFonts w:hint="eastAsia" w:eastAsia="宋体"/>
          <w:lang w:val="en-US" w:eastAsia="zh-CN"/>
        </w:rPr>
        <w:t xml:space="preserve"> in TS 33.537[1] and a new Annex W in </w:t>
      </w:r>
      <w:r>
        <w:t>TR 33.926 [2]</w:t>
      </w:r>
      <w:r>
        <w:rPr>
          <w:rFonts w:hint="eastAsia" w:eastAsia="宋体"/>
          <w:lang w:val="en-US" w:eastAsia="zh-CN"/>
        </w:rPr>
        <w:t xml:space="preserve"> </w:t>
      </w:r>
      <w:r>
        <w:t xml:space="preserve">describing the associated </w:t>
      </w:r>
      <w:r>
        <w:rPr>
          <w:rFonts w:hint="eastAsia" w:eastAsia="宋体"/>
          <w:lang w:val="en-US" w:eastAsia="zh-CN"/>
        </w:rPr>
        <w:t>assets and threats</w:t>
      </w:r>
      <w:r>
        <w:t xml:space="preserve"> for </w:t>
      </w:r>
      <w:r>
        <w:rPr>
          <w:rFonts w:hint="eastAsia" w:eastAsia="宋体"/>
          <w:lang w:val="en-US" w:eastAsia="zh-CN"/>
        </w:rPr>
        <w:t>AA</w:t>
      </w:r>
      <w:r>
        <w:t xml:space="preserve">nF network products. </w:t>
      </w:r>
    </w:p>
    <w:p>
      <w:pPr>
        <w:jc w:val="both"/>
        <w:rPr>
          <w:rFonts w:hint="eastAsia" w:eastAsia="宋体"/>
          <w:highlight w:val="none"/>
          <w:lang w:val="en-US" w:eastAsia="zh-CN"/>
        </w:rPr>
      </w:pPr>
      <w:r>
        <w:rPr>
          <w:highlight w:val="none"/>
        </w:rPr>
        <w:t>This work item is part of SA3's regular activities related for the Network Equipment Security Assurance Scheme (NESAS), jointly defined by 3GPP and GSMA as described in SA3's Terms of Reference [</w:t>
      </w:r>
      <w:r>
        <w:rPr>
          <w:rFonts w:hint="eastAsia" w:eastAsia="宋体"/>
          <w:highlight w:val="none"/>
          <w:lang w:val="en-US" w:eastAsia="zh-CN"/>
        </w:rPr>
        <w:t>3</w:t>
      </w:r>
      <w:r>
        <w:rPr>
          <w:highlight w:val="none"/>
        </w:rPr>
        <w:t>]. A SCAS specification defines the security assurance requirements and corresponding test cases for network equipment implementing one or more 3GPP NFs. For this particular work the target is the</w:t>
      </w:r>
      <w:r>
        <w:rPr>
          <w:rFonts w:hint="eastAsia" w:eastAsia="宋体"/>
          <w:highlight w:val="none"/>
          <w:lang w:val="en-US" w:eastAsia="zh-CN"/>
        </w:rPr>
        <w:t xml:space="preserve"> AAnF(AKMA Anchor Function)</w:t>
      </w:r>
      <w:r>
        <w:rPr>
          <w:highlight w:val="none"/>
        </w:rPr>
        <w:t xml:space="preserve"> as specified in TS </w:t>
      </w:r>
      <w:r>
        <w:rPr>
          <w:rFonts w:hint="eastAsia" w:eastAsia="宋体"/>
          <w:highlight w:val="none"/>
          <w:lang w:val="en-US" w:eastAsia="zh-CN"/>
        </w:rPr>
        <w:t>33</w:t>
      </w:r>
      <w:r>
        <w:rPr>
          <w:highlight w:val="none"/>
        </w:rPr>
        <w:t>.53</w:t>
      </w:r>
      <w:r>
        <w:rPr>
          <w:rFonts w:hint="eastAsia" w:eastAsia="宋体"/>
          <w:highlight w:val="none"/>
          <w:lang w:val="en-US" w:eastAsia="zh-CN"/>
        </w:rPr>
        <w:t>5</w:t>
      </w:r>
      <w:r>
        <w:rPr>
          <w:highlight w:val="none"/>
        </w:rPr>
        <w:t> [</w:t>
      </w:r>
      <w:r>
        <w:rPr>
          <w:rFonts w:hint="eastAsia" w:eastAsia="宋体"/>
          <w:highlight w:val="none"/>
          <w:lang w:val="en-US" w:eastAsia="zh-CN"/>
        </w:rPr>
        <w:t>4</w:t>
      </w:r>
      <w:r>
        <w:rPr>
          <w:highlight w:val="none"/>
        </w:rPr>
        <w:t>].</w:t>
      </w:r>
    </w:p>
    <w:p>
      <w:pPr>
        <w:rPr>
          <w:b/>
        </w:rPr>
      </w:pPr>
      <w:r>
        <w:rPr>
          <w:b/>
        </w:rPr>
        <w:t>Description</w:t>
      </w:r>
    </w:p>
    <w:p>
      <w:pPr>
        <w:jc w:val="both"/>
        <w:rPr>
          <w:highlight w:val="none"/>
        </w:rPr>
      </w:pPr>
      <w:r>
        <w:t xml:space="preserve">The new SCAS </w:t>
      </w:r>
      <w:r>
        <w:rPr>
          <w:rFonts w:hint="eastAsia" w:eastAsia="宋体"/>
          <w:lang w:val="en-US" w:eastAsia="zh-CN"/>
        </w:rPr>
        <w:t>AAnF</w:t>
      </w:r>
      <w:r>
        <w:t xml:space="preserve"> specification in TS 33.5</w:t>
      </w:r>
      <w:r>
        <w:rPr>
          <w:rFonts w:hint="eastAsia" w:eastAsia="宋体"/>
          <w:lang w:val="en-US" w:eastAsia="zh-CN"/>
        </w:rPr>
        <w:t>37</w:t>
      </w:r>
      <w:r>
        <w:t xml:space="preserve"> [1] describes the specific security assurance requirements and related test cases </w:t>
      </w:r>
      <w:r>
        <w:rPr>
          <w:rFonts w:eastAsia="等线"/>
        </w:rPr>
        <w:t xml:space="preserve">that are specific to the </w:t>
      </w:r>
      <w:r>
        <w:rPr>
          <w:rFonts w:hint="eastAsia" w:eastAsia="等线"/>
          <w:lang w:eastAsia="zh-CN"/>
        </w:rPr>
        <w:t>AAnF</w:t>
      </w:r>
      <w:r>
        <w:rPr>
          <w:rFonts w:eastAsia="等线"/>
        </w:rPr>
        <w:t xml:space="preserve"> network product class.</w:t>
      </w:r>
      <w:r>
        <w:rPr>
          <w:rFonts w:hint="eastAsia" w:eastAsia="等线"/>
          <w:lang w:val="en-US" w:eastAsia="zh-CN"/>
        </w:rPr>
        <w:t xml:space="preserve"> The functionality of AAnF is </w:t>
      </w:r>
      <w:r>
        <w:rPr>
          <w:rFonts w:hint="eastAsia" w:eastAsia="宋体"/>
          <w:lang w:val="en-US" w:eastAsia="zh-CN"/>
        </w:rPr>
        <w:t>specified in TS 33.53</w:t>
      </w:r>
      <w:r>
        <w:rPr>
          <w:rFonts w:hint="eastAsia" w:eastAsia="宋体"/>
          <w:highlight w:val="none"/>
          <w:lang w:val="en-US" w:eastAsia="zh-CN"/>
        </w:rPr>
        <w:t>5[4]</w:t>
      </w:r>
      <w:r>
        <w:rPr>
          <w:highlight w:val="none"/>
        </w:rPr>
        <w:t>. As for any other SCAS specification, this is done with reference to the generic requirement and test catalogue in TS 33.117 [</w:t>
      </w:r>
      <w:r>
        <w:rPr>
          <w:rFonts w:hint="eastAsia" w:eastAsia="宋体"/>
          <w:highlight w:val="none"/>
          <w:lang w:val="en-US" w:eastAsia="zh-CN"/>
        </w:rPr>
        <w:t>5</w:t>
      </w:r>
      <w:r>
        <w:rPr>
          <w:highlight w:val="none"/>
        </w:rPr>
        <w:t xml:space="preserve">]. For the </w:t>
      </w:r>
      <w:r>
        <w:rPr>
          <w:rFonts w:hint="eastAsia" w:eastAsia="宋体"/>
          <w:highlight w:val="none"/>
          <w:lang w:val="en-US" w:eastAsia="zh-CN"/>
        </w:rPr>
        <w:t>AAnF</w:t>
      </w:r>
      <w:r>
        <w:rPr>
          <w:highlight w:val="none"/>
        </w:rPr>
        <w:t xml:space="preserve"> product class, most of these generic requirements and tests cases could be reused except for few network features and interfaces where they were deemed not applicable for </w:t>
      </w:r>
      <w:r>
        <w:rPr>
          <w:rFonts w:hint="eastAsia" w:eastAsia="宋体"/>
          <w:highlight w:val="none"/>
          <w:lang w:val="en-US" w:eastAsia="zh-CN"/>
        </w:rPr>
        <w:t>AAnF</w:t>
      </w:r>
      <w:r>
        <w:rPr>
          <w:highlight w:val="none"/>
        </w:rPr>
        <w:t xml:space="preserve"> products. </w:t>
      </w:r>
    </w:p>
    <w:p>
      <w:pPr>
        <w:jc w:val="both"/>
      </w:pPr>
      <w:r>
        <w:t xml:space="preserve">The new Annex </w:t>
      </w:r>
      <w:r>
        <w:rPr>
          <w:rFonts w:hint="eastAsia" w:eastAsia="宋体"/>
          <w:lang w:val="en-US" w:eastAsia="zh-CN"/>
        </w:rPr>
        <w:t>W</w:t>
      </w:r>
      <w:r>
        <w:t xml:space="preserve"> of TR 33.926 [2] for the </w:t>
      </w:r>
      <w:r>
        <w:rPr>
          <w:rFonts w:hint="eastAsia" w:eastAsia="宋体"/>
          <w:lang w:val="en-US" w:eastAsia="zh-CN"/>
        </w:rPr>
        <w:t>AA</w:t>
      </w:r>
      <w:r>
        <w:t>nF class of network products describes the assets and identifies t</w:t>
      </w:r>
      <w:r>
        <w:rPr>
          <w:rFonts w:hint="eastAsia" w:eastAsia="宋体"/>
          <w:lang w:val="en-US" w:eastAsia="zh-CN"/>
        </w:rPr>
        <w:t>hree</w:t>
      </w:r>
      <w:r>
        <w:t xml:space="preserve"> new specific threats to such products in addition to the ones pertaining to the generic network product model of [2].</w:t>
      </w:r>
    </w:p>
    <w:p>
      <w:pPr>
        <w:jc w:val="both"/>
        <w:rPr>
          <w:highlight w:val="none"/>
        </w:rPr>
      </w:pPr>
    </w:p>
    <w:p>
      <w:pPr>
        <w:rPr>
          <w:b/>
        </w:rPr>
      </w:pPr>
      <w:r>
        <w:rPr>
          <w:b/>
        </w:rPr>
        <w:t>References</w:t>
      </w:r>
    </w:p>
    <w:p>
      <w:pPr>
        <w:pStyle w:val="10"/>
        <w:numPr>
          <w:ilvl w:val="0"/>
          <w:numId w:val="1"/>
        </w:numPr>
        <w:ind w:left="802" w:leftChars="0" w:hanging="518" w:firstLineChars="0"/>
      </w:pPr>
      <w:r>
        <w:t>TS 33.5</w:t>
      </w:r>
      <w:r>
        <w:rPr>
          <w:rFonts w:hint="eastAsia" w:eastAsia="宋体"/>
          <w:lang w:val="en-US" w:eastAsia="zh-CN"/>
        </w:rPr>
        <w:t>37</w:t>
      </w:r>
      <w:r>
        <w:t>: "</w:t>
      </w:r>
      <w:r>
        <w:rPr>
          <w:rFonts w:hint="default"/>
          <w:lang w:val="en-US" w:eastAsia="zh-CN"/>
        </w:rPr>
        <w:t>Security Assurance Specification (SCAS) for the Authentication and Key Management for Applications (AKMA) Anchor Function (AAnF)</w:t>
      </w:r>
      <w:r>
        <w:t>"</w:t>
      </w:r>
    </w:p>
    <w:p>
      <w:pPr>
        <w:pStyle w:val="10"/>
        <w:numPr>
          <w:ilvl w:val="0"/>
          <w:numId w:val="1"/>
        </w:numPr>
        <w:ind w:left="802" w:leftChars="0" w:hanging="518" w:firstLineChars="0"/>
      </w:pPr>
      <w:r>
        <w:t>TR 33.926: "Security Assurance Specification (SCAS) threats and critical assets in 3GPP network product classes"</w:t>
      </w:r>
    </w:p>
    <w:p>
      <w:pPr>
        <w:pStyle w:val="10"/>
        <w:numPr>
          <w:ilvl w:val="0"/>
          <w:numId w:val="1"/>
        </w:numPr>
        <w:ind w:left="802" w:leftChars="0" w:hanging="518" w:firstLineChars="0"/>
        <w:rPr>
          <w:rFonts w:hint="eastAsia" w:eastAsia="宋体"/>
          <w:lang w:val="en-US" w:eastAsia="zh-CN"/>
        </w:rPr>
      </w:pPr>
      <w:r>
        <w:t>SP-201085 "Terms of Reference (ToR) for TSG SA WG3 (SA3)"</w:t>
      </w:r>
      <w:r>
        <w:rPr>
          <w:rFonts w:hint="eastAsia" w:eastAsia="宋体"/>
          <w:lang w:val="en-US" w:eastAsia="zh-CN"/>
        </w:rPr>
        <w:t xml:space="preserve"> </w:t>
      </w:r>
    </w:p>
    <w:p>
      <w:pPr>
        <w:pStyle w:val="10"/>
        <w:numPr>
          <w:ilvl w:val="0"/>
          <w:numId w:val="1"/>
        </w:numPr>
        <w:ind w:left="802" w:leftChars="0" w:hanging="518" w:firstLineChars="0"/>
        <w:rPr>
          <w:rFonts w:hint="eastAsia" w:eastAsia="宋体"/>
          <w:lang w:val="en-US" w:eastAsia="zh-CN"/>
        </w:rPr>
      </w:pPr>
      <w:r>
        <w:t>TS </w:t>
      </w:r>
      <w:r>
        <w:rPr>
          <w:rFonts w:hint="eastAsia" w:eastAsia="宋体"/>
          <w:lang w:eastAsia="zh-CN"/>
        </w:rPr>
        <w:t>33</w:t>
      </w:r>
      <w:r>
        <w:t>.5</w:t>
      </w:r>
      <w:r>
        <w:rPr>
          <w:rFonts w:hint="eastAsia" w:eastAsia="宋体"/>
          <w:lang w:eastAsia="zh-CN"/>
        </w:rPr>
        <w:t>35</w:t>
      </w:r>
      <w:r>
        <w:t>: "Authentication and Key Management for Applications (AKMA) based on 3GPP credentials in the 5G System (5GS)"</w:t>
      </w:r>
      <w:r>
        <w:rPr>
          <w:rFonts w:hint="eastAsia" w:eastAsia="宋体"/>
          <w:lang w:val="en-US" w:eastAsia="zh-CN"/>
        </w:rPr>
        <w:t xml:space="preserve"> </w:t>
      </w:r>
    </w:p>
    <w:p>
      <w:pPr>
        <w:pStyle w:val="10"/>
        <w:numPr>
          <w:ilvl w:val="0"/>
          <w:numId w:val="1"/>
        </w:numPr>
        <w:ind w:left="802" w:leftChars="0" w:hanging="518" w:firstLineChars="0"/>
        <w:rPr>
          <w:rFonts w:hint="eastAsia" w:eastAsia="宋体"/>
          <w:lang w:val="en-US" w:eastAsia="zh-CN"/>
        </w:rPr>
      </w:pPr>
      <w:r>
        <w:rPr>
          <w:rFonts w:hint="eastAsia" w:eastAsia="宋体"/>
          <w:lang w:val="en-US" w:eastAsia="zh-CN"/>
        </w:rPr>
        <w:t xml:space="preserve">TS 33.117: </w:t>
      </w:r>
      <w:r>
        <w:t>"</w:t>
      </w:r>
      <w:r>
        <w:rPr>
          <w:rFonts w:hint="eastAsia" w:eastAsia="宋体"/>
          <w:lang w:val="en-US" w:eastAsia="zh-CN"/>
        </w:rPr>
        <w:t>Catalogue of general security assurance requirements</w:t>
      </w:r>
      <w:r>
        <w:t>"</w:t>
      </w:r>
    </w:p>
    <w:p>
      <w:pPr>
        <w:pStyle w:val="10"/>
        <w:numPr>
          <w:ilvl w:val="0"/>
          <w:numId w:val="0"/>
        </w:numPr>
        <w:ind w:left="284" w:leftChars="0"/>
      </w:pPr>
    </w:p>
    <w:p>
      <w:pPr>
        <w:pStyle w:val="10"/>
        <w:numPr>
          <w:ilvl w:val="0"/>
          <w:numId w:val="0"/>
        </w:numPr>
        <w:ind w:left="284" w:leftChars="0"/>
      </w:pPr>
    </w:p>
    <w:bookmarkEnd w:id="0"/>
    <w:p/>
    <w:sectPr>
      <w:pgSz w:w="11906" w:h="16838"/>
      <w:pgMar w:top="1440" w:right="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36C799"/>
    <w:multiLevelType w:val="singleLevel"/>
    <w:tmpl w:val="AA36C799"/>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70DA5"/>
    <w:rsid w:val="2B013707"/>
    <w:rsid w:val="39CF5FC8"/>
    <w:rsid w:val="4474196D"/>
    <w:rsid w:val="4B870DA5"/>
    <w:rsid w:val="55397B7C"/>
    <w:rsid w:val="581212E5"/>
    <w:rsid w:val="602930A9"/>
    <w:rsid w:val="617305E3"/>
    <w:rsid w:val="6791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8"/>
    <w:basedOn w:val="2"/>
    <w:next w:val="1"/>
    <w:qFormat/>
    <w:uiPriority w:val="0"/>
    <w:pPr>
      <w:ind w:left="0" w:firstLine="0"/>
      <w:outlineLvl w:val="7"/>
    </w:pPr>
  </w:style>
  <w:style w:type="paragraph" w:styleId="4">
    <w:name w:val="heading 9"/>
    <w:basedOn w:val="3"/>
    <w:next w:val="1"/>
    <w:qFormat/>
    <w:uiPriority w:val="0"/>
    <w:pPr>
      <w:outlineLvl w:val="8"/>
    </w:p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7">
    <w:name w:val="Hyperlink"/>
    <w:qFormat/>
    <w:uiPriority w:val="99"/>
    <w:rPr>
      <w:color w:val="0000FF"/>
      <w:u w:val="single"/>
    </w:rPr>
  </w:style>
  <w:style w:type="paragraph" w:customStyle="1" w:styleId="8">
    <w:name w:val="Editor's Note"/>
    <w:basedOn w:val="9"/>
    <w:qFormat/>
    <w:uiPriority w:val="0"/>
    <w:rPr>
      <w:color w:val="FF0000"/>
    </w:rPr>
  </w:style>
  <w:style w:type="paragraph" w:customStyle="1" w:styleId="9">
    <w:name w:val="NO"/>
    <w:basedOn w:val="1"/>
    <w:qFormat/>
    <w:uiPriority w:val="0"/>
    <w:pPr>
      <w:keepLines/>
      <w:ind w:left="1135" w:hanging="851"/>
    </w:pPr>
  </w:style>
  <w:style w:type="paragraph" w:customStyle="1" w:styleId="10">
    <w:name w:val="EW"/>
    <w:basedOn w:val="11"/>
    <w:qFormat/>
    <w:uiPriority w:val="0"/>
    <w:pPr>
      <w:spacing w:after="0"/>
    </w:pPr>
  </w:style>
  <w:style w:type="paragraph" w:customStyle="1" w:styleId="11">
    <w:name w:val="EX"/>
    <w:basedOn w:val="1"/>
    <w:qFormat/>
    <w:uiPriority w:val="0"/>
    <w:pPr>
      <w:keepLines/>
      <w:ind w:left="1702" w:hanging="1418"/>
    </w:pPr>
  </w:style>
  <w:style w:type="paragraph" w:customStyle="1" w:styleId="1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0</TotalTime>
  <ScaleCrop>false</ScaleCrop>
  <LinksUpToDate>false</LinksUpToDate>
  <CharactersWithSpaces>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2024-06-07T08:55:00Z</dcterms:created>
  <dc:creator>cmcc</dc:creator>
  <cp:lastModifiedBy>CMCC-1</cp:lastModifiedBy>
  <dcterms:modified xsi:type="dcterms:W3CDTF">2024-06-11T13:35:41Z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095F01DD86774918A4CA1C296BFEDDDD</vt:lpwstr>
  </property>
</Properties>
</file>